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6090"/>
      </w:tblGrid>
      <w:tr w:rsidR="008866FD" w14:paraId="06EEB9C6" w14:textId="77777777" w:rsidTr="00920EC7">
        <w:tc>
          <w:tcPr>
            <w:tcW w:w="1418" w:type="dxa"/>
          </w:tcPr>
          <w:p w14:paraId="55875993" w14:textId="77777777" w:rsidR="008866FD" w:rsidRDefault="008866FD"/>
        </w:tc>
        <w:tc>
          <w:tcPr>
            <w:tcW w:w="6090" w:type="dxa"/>
          </w:tcPr>
          <w:p w14:paraId="44844D65" w14:textId="69320F58" w:rsidR="008866FD" w:rsidRPr="0098474A" w:rsidRDefault="008866FD" w:rsidP="00385CA0">
            <w:pPr>
              <w:jc w:val="center"/>
              <w:rPr>
                <w:rFonts w:ascii="Aptos" w:hAnsi="Aptos"/>
                <w:sz w:val="28"/>
              </w:rPr>
            </w:pPr>
            <w:r w:rsidRPr="0098474A">
              <w:rPr>
                <w:rFonts w:ascii="Aptos" w:hAnsi="Aptos"/>
                <w:sz w:val="28"/>
              </w:rPr>
              <w:t>Stellenwert</w:t>
            </w:r>
          </w:p>
        </w:tc>
      </w:tr>
    </w:tbl>
    <w:p w14:paraId="0F598978" w14:textId="77777777" w:rsidR="004F4D9D" w:rsidRDefault="004F4D9D"/>
    <w:p w14:paraId="78FB7E55" w14:textId="77777777" w:rsidR="00920EC7" w:rsidRPr="0098474A" w:rsidRDefault="00920EC7" w:rsidP="00920EC7">
      <w:pPr>
        <w:rPr>
          <w:rFonts w:ascii="Aptos" w:hAnsi="Aptos"/>
        </w:rPr>
      </w:pPr>
      <w:r w:rsidRPr="0098474A">
        <w:rPr>
          <w:rFonts w:ascii="Aptos" w:hAnsi="Aptos"/>
        </w:rPr>
        <w:t>Beispielsituation:</w:t>
      </w:r>
    </w:p>
    <w:p w14:paraId="632A767E" w14:textId="73A317AC" w:rsidR="008D2F9B" w:rsidRPr="0098474A" w:rsidRDefault="00D96774" w:rsidP="008866FD">
      <w:pPr>
        <w:spacing w:after="360"/>
        <w:jc w:val="both"/>
        <w:rPr>
          <w:rFonts w:ascii="Aptos" w:hAnsi="Aptos"/>
        </w:rPr>
      </w:pPr>
      <w:r w:rsidRPr="0098474A">
        <w:rPr>
          <w:rFonts w:ascii="Aptos" w:hAnsi="Aptos"/>
        </w:rPr>
        <w:t xml:space="preserve">Sie behandeln in Ihrem Unterricht aktuell die Stellenwertschreibweise bei rationalen Zahlen. Die Lernenden sind mit der Bruchschreibweise bei Dezimalbrüchen bereits vertraut. Es geht nun um Übersetzungsprozesse zwischen den verschiedenen Darstellungsweisen. Sie sehen die </w:t>
      </w:r>
      <w:r w:rsidR="00B35C28" w:rsidRPr="0098474A">
        <w:rPr>
          <w:rFonts w:ascii="Aptos" w:hAnsi="Aptos"/>
        </w:rPr>
        <w:t>folgende</w:t>
      </w:r>
      <w:r w:rsidRPr="0098474A">
        <w:rPr>
          <w:rFonts w:ascii="Aptos" w:hAnsi="Aptos"/>
        </w:rPr>
        <w:t xml:space="preserve"> Bearbeitung eines Schülers und fragen nach, warum der Schüler so vorgegangen ist. Sie erhalten </w:t>
      </w:r>
      <w:r w:rsidR="00B35C28" w:rsidRPr="0098474A">
        <w:rPr>
          <w:rFonts w:ascii="Aptos" w:hAnsi="Aptos"/>
        </w:rPr>
        <w:t>die untenstehende</w:t>
      </w:r>
      <w:r w:rsidRPr="0098474A">
        <w:rPr>
          <w:rFonts w:ascii="Aptos" w:hAnsi="Aptos"/>
        </w:rPr>
        <w:t xml:space="preserve"> Antwort:</w:t>
      </w:r>
    </w:p>
    <w:p w14:paraId="6F10A41A" w14:textId="77777777" w:rsidR="00EB453B" w:rsidRPr="0098474A" w:rsidRDefault="00EB1A93" w:rsidP="00216D7C">
      <w:pPr>
        <w:jc w:val="center"/>
        <w:rPr>
          <w:rFonts w:ascii="Aptos" w:hAnsi="Aptos"/>
        </w:rPr>
      </w:pPr>
      <w:r w:rsidRPr="0098474A">
        <w:rPr>
          <w:rFonts w:ascii="Aptos" w:hAnsi="Aptos"/>
          <w:noProof/>
          <w:lang w:eastAsia="de-DE"/>
        </w:rPr>
        <w:drawing>
          <wp:inline distT="0" distB="0" distL="0" distR="0" wp14:anchorId="01D6209D" wp14:editId="0D37BCE9">
            <wp:extent cx="4351020" cy="1390389"/>
            <wp:effectExtent l="0" t="0" r="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82319" cy="1400391"/>
                    </a:xfrm>
                    <a:prstGeom prst="rect">
                      <a:avLst/>
                    </a:prstGeom>
                  </pic:spPr>
                </pic:pic>
              </a:graphicData>
            </a:graphic>
          </wp:inline>
        </w:drawing>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6993"/>
      </w:tblGrid>
      <w:tr w:rsidR="00EB1A93" w:rsidRPr="0098474A" w14:paraId="3FAB7FDF" w14:textId="77777777" w:rsidTr="00143F6D">
        <w:tc>
          <w:tcPr>
            <w:tcW w:w="1843" w:type="dxa"/>
          </w:tcPr>
          <w:p w14:paraId="6C745B99" w14:textId="77777777" w:rsidR="00EB1A93" w:rsidRPr="0098474A" w:rsidRDefault="00EB1A93" w:rsidP="00DE0FA3">
            <w:pPr>
              <w:rPr>
                <w:rFonts w:ascii="Aptos" w:hAnsi="Aptos"/>
                <w:i/>
                <w:color w:val="000000" w:themeColor="text1"/>
              </w:rPr>
            </w:pPr>
            <w:r w:rsidRPr="0098474A">
              <w:rPr>
                <w:rFonts w:ascii="Aptos" w:hAnsi="Aptos"/>
                <w:i/>
                <w:color w:val="000000" w:themeColor="text1"/>
              </w:rPr>
              <w:t>Sebastian (zu a)</w:t>
            </w:r>
            <w:r w:rsidRPr="0098474A">
              <w:rPr>
                <w:rFonts w:ascii="Aptos" w:hAnsi="Aptos"/>
                <w:color w:val="000000" w:themeColor="text1"/>
              </w:rPr>
              <w:t>:</w:t>
            </w:r>
          </w:p>
        </w:tc>
        <w:tc>
          <w:tcPr>
            <w:tcW w:w="6993" w:type="dxa"/>
          </w:tcPr>
          <w:p w14:paraId="46EAFAFC" w14:textId="77777777" w:rsidR="00EB1A93" w:rsidRPr="0098474A" w:rsidRDefault="00EB1A93" w:rsidP="00DE0FA3">
            <w:pPr>
              <w:rPr>
                <w:rFonts w:ascii="Aptos" w:hAnsi="Aptos"/>
                <w:i/>
                <w:color w:val="000000" w:themeColor="text1"/>
              </w:rPr>
            </w:pPr>
            <w:r w:rsidRPr="0098474A">
              <w:rPr>
                <w:rFonts w:ascii="Aptos" w:hAnsi="Aptos"/>
                <w:color w:val="000000" w:themeColor="text1"/>
              </w:rPr>
              <w:t>Weil Zehntel ist ja immer eine Null.</w:t>
            </w:r>
            <w:r w:rsidRPr="0098474A">
              <w:rPr>
                <w:rFonts w:ascii="Aptos" w:hAnsi="Aptos"/>
                <w:color w:val="000000" w:themeColor="text1"/>
              </w:rPr>
              <w:br/>
            </w:r>
          </w:p>
        </w:tc>
      </w:tr>
      <w:tr w:rsidR="00EB1A93" w:rsidRPr="0098474A" w14:paraId="2D3428B4" w14:textId="77777777" w:rsidTr="00143F6D">
        <w:tc>
          <w:tcPr>
            <w:tcW w:w="1843" w:type="dxa"/>
          </w:tcPr>
          <w:p w14:paraId="31555E30" w14:textId="77777777" w:rsidR="00EB1A93" w:rsidRPr="0098474A" w:rsidRDefault="00EB1A93" w:rsidP="00DE0FA3">
            <w:pPr>
              <w:rPr>
                <w:rFonts w:ascii="Aptos" w:hAnsi="Aptos"/>
                <w:i/>
                <w:color w:val="000000" w:themeColor="text1"/>
              </w:rPr>
            </w:pPr>
            <w:r w:rsidRPr="0098474A">
              <w:rPr>
                <w:rFonts w:ascii="Aptos" w:hAnsi="Aptos"/>
                <w:i/>
                <w:color w:val="000000" w:themeColor="text1"/>
              </w:rPr>
              <w:t>Sebastian (zu b)</w:t>
            </w:r>
            <w:r w:rsidRPr="0098474A">
              <w:rPr>
                <w:rFonts w:ascii="Aptos" w:hAnsi="Aptos"/>
                <w:color w:val="000000" w:themeColor="text1"/>
              </w:rPr>
              <w:t>:</w:t>
            </w:r>
          </w:p>
        </w:tc>
        <w:tc>
          <w:tcPr>
            <w:tcW w:w="6993" w:type="dxa"/>
          </w:tcPr>
          <w:p w14:paraId="330B188D" w14:textId="77777777" w:rsidR="00EB1A93" w:rsidRPr="0098474A" w:rsidRDefault="00EB1A93" w:rsidP="00DE0FA3">
            <w:pPr>
              <w:rPr>
                <w:rFonts w:ascii="Aptos" w:hAnsi="Aptos"/>
                <w:color w:val="000000" w:themeColor="text1"/>
              </w:rPr>
            </w:pPr>
            <w:r w:rsidRPr="0098474A">
              <w:rPr>
                <w:rFonts w:ascii="Aptos" w:hAnsi="Aptos"/>
                <w:color w:val="000000" w:themeColor="text1"/>
              </w:rPr>
              <w:t>Hier ist Hundert, da sind zwei Nullen. Und da hab‘ ich dann auch wieder die Fünf davor gemacht.</w:t>
            </w:r>
          </w:p>
          <w:p w14:paraId="4BB9AD24" w14:textId="77777777" w:rsidR="00EB1A93" w:rsidRPr="0098474A" w:rsidRDefault="00EB1A93" w:rsidP="00DE0FA3">
            <w:pPr>
              <w:rPr>
                <w:rFonts w:ascii="Aptos" w:hAnsi="Aptos"/>
                <w:i/>
                <w:color w:val="000000" w:themeColor="text1"/>
              </w:rPr>
            </w:pPr>
          </w:p>
        </w:tc>
      </w:tr>
      <w:tr w:rsidR="00EB1A93" w:rsidRPr="0098474A" w14:paraId="0858789D" w14:textId="77777777" w:rsidTr="00143F6D">
        <w:tc>
          <w:tcPr>
            <w:tcW w:w="1843" w:type="dxa"/>
          </w:tcPr>
          <w:p w14:paraId="450A4713" w14:textId="77777777" w:rsidR="00EB1A93" w:rsidRPr="0098474A" w:rsidRDefault="00EB1A93" w:rsidP="00DE0FA3">
            <w:pPr>
              <w:rPr>
                <w:rFonts w:ascii="Aptos" w:hAnsi="Aptos"/>
                <w:i/>
                <w:color w:val="000000" w:themeColor="text1"/>
              </w:rPr>
            </w:pPr>
            <w:r w:rsidRPr="0098474A">
              <w:rPr>
                <w:rFonts w:ascii="Aptos" w:hAnsi="Aptos"/>
                <w:i/>
                <w:color w:val="000000" w:themeColor="text1"/>
              </w:rPr>
              <w:t>Sebastian (zu c)</w:t>
            </w:r>
            <w:r w:rsidRPr="0098474A">
              <w:rPr>
                <w:rFonts w:ascii="Aptos" w:hAnsi="Aptos"/>
                <w:color w:val="000000" w:themeColor="text1"/>
              </w:rPr>
              <w:t>:</w:t>
            </w:r>
          </w:p>
        </w:tc>
        <w:tc>
          <w:tcPr>
            <w:tcW w:w="6993" w:type="dxa"/>
          </w:tcPr>
          <w:p w14:paraId="36557AE5" w14:textId="77777777" w:rsidR="00EB1A93" w:rsidRPr="0098474A" w:rsidRDefault="00EB1A93" w:rsidP="00DE0FA3">
            <w:pPr>
              <w:rPr>
                <w:rFonts w:ascii="Aptos" w:hAnsi="Aptos"/>
                <w:i/>
                <w:color w:val="000000" w:themeColor="text1"/>
              </w:rPr>
            </w:pPr>
            <w:r w:rsidRPr="0098474A">
              <w:rPr>
                <w:rFonts w:ascii="Aptos" w:hAnsi="Aptos"/>
                <w:color w:val="000000" w:themeColor="text1"/>
              </w:rPr>
              <w:t>Bei fünf Hundertstel wären da wieder zwei Nullen, aber der Einer ist hier erst da hinten (zeigt auf die letzte Stelle bei seiner Lösung), und Zehntel wär‘ dann die Null (zeigt auf die Stelle davor).</w:t>
            </w:r>
            <w:r w:rsidRPr="0098474A">
              <w:rPr>
                <w:rFonts w:ascii="Aptos" w:hAnsi="Aptos"/>
                <w:color w:val="2E74B5" w:themeColor="accent1" w:themeShade="BF"/>
              </w:rPr>
              <w:br/>
            </w:r>
          </w:p>
        </w:tc>
      </w:tr>
    </w:tbl>
    <w:p w14:paraId="4517D535" w14:textId="5810478E" w:rsidR="00D373AC" w:rsidRPr="0098474A" w:rsidRDefault="00D373AC" w:rsidP="007C4454">
      <w:pPr>
        <w:jc w:val="right"/>
        <w:rPr>
          <w:rFonts w:ascii="Aptos" w:hAnsi="Aptos"/>
          <w:sz w:val="18"/>
        </w:rPr>
      </w:pPr>
      <w:r w:rsidRPr="0098474A">
        <w:rPr>
          <w:rFonts w:ascii="Aptos" w:hAnsi="Aptos"/>
          <w:sz w:val="18"/>
        </w:rPr>
        <w:t>(</w:t>
      </w:r>
      <w:r w:rsidR="002A296E" w:rsidRPr="0098474A">
        <w:rPr>
          <w:rFonts w:ascii="Aptos" w:hAnsi="Aptos"/>
          <w:sz w:val="18"/>
        </w:rPr>
        <w:t xml:space="preserve">nach </w:t>
      </w:r>
      <w:r w:rsidR="00EB1A93" w:rsidRPr="0098474A">
        <w:rPr>
          <w:rFonts w:ascii="Aptos" w:hAnsi="Aptos"/>
          <w:sz w:val="18"/>
        </w:rPr>
        <w:t>Heckmann 2007</w:t>
      </w:r>
      <w:r w:rsidR="007C4454" w:rsidRPr="0098474A">
        <w:rPr>
          <w:rFonts w:ascii="Aptos" w:hAnsi="Aptos"/>
          <w:sz w:val="18"/>
        </w:rPr>
        <w:t>)</w:t>
      </w:r>
    </w:p>
    <w:p w14:paraId="3E5B389B" w14:textId="77777777" w:rsidR="002A296E" w:rsidRPr="0098474A" w:rsidRDefault="002A296E" w:rsidP="006D3DA0">
      <w:pPr>
        <w:spacing w:after="0"/>
        <w:rPr>
          <w:rFonts w:ascii="Aptos" w:hAnsi="Aptos"/>
        </w:rPr>
      </w:pPr>
    </w:p>
    <w:p w14:paraId="4C9770CB" w14:textId="77777777" w:rsidR="00D96774" w:rsidRPr="0098474A" w:rsidRDefault="00D96774" w:rsidP="006D3DA0">
      <w:pPr>
        <w:spacing w:after="0"/>
        <w:rPr>
          <w:rFonts w:ascii="Aptos" w:hAnsi="Aptos"/>
        </w:rPr>
      </w:pPr>
    </w:p>
    <w:tbl>
      <w:tblPr>
        <w:tblStyle w:val="Tabellenraster"/>
        <w:tblW w:w="0" w:type="auto"/>
        <w:tblLook w:val="04A0" w:firstRow="1" w:lastRow="0" w:firstColumn="1" w:lastColumn="0" w:noHBand="0" w:noVBand="1"/>
      </w:tblPr>
      <w:tblGrid>
        <w:gridCol w:w="9060"/>
      </w:tblGrid>
      <w:tr w:rsidR="004F4D9D" w:rsidRPr="0098474A" w14:paraId="572B0C99" w14:textId="77777777" w:rsidTr="004F4D9D">
        <w:tc>
          <w:tcPr>
            <w:tcW w:w="9060" w:type="dxa"/>
          </w:tcPr>
          <w:p w14:paraId="68CEF775" w14:textId="298C35B2" w:rsidR="004F4D9D" w:rsidRPr="0098474A" w:rsidRDefault="004F4D9D" w:rsidP="00D55A38">
            <w:pPr>
              <w:spacing w:before="120" w:after="120"/>
              <w:rPr>
                <w:rFonts w:ascii="Aptos" w:hAnsi="Aptos"/>
                <w:b/>
              </w:rPr>
            </w:pPr>
            <w:r w:rsidRPr="0098474A">
              <w:rPr>
                <w:rFonts w:ascii="Aptos" w:hAnsi="Aptos"/>
                <w:b/>
              </w:rPr>
              <w:t>Aufgabe:</w:t>
            </w:r>
          </w:p>
          <w:p w14:paraId="66F829EE" w14:textId="41A20C1E" w:rsidR="004F4D9D" w:rsidRPr="0098474A" w:rsidRDefault="004F4D9D" w:rsidP="00D55A38">
            <w:pPr>
              <w:spacing w:after="120"/>
              <w:rPr>
                <w:rFonts w:ascii="Aptos" w:hAnsi="Aptos"/>
              </w:rPr>
            </w:pPr>
            <w:r w:rsidRPr="0098474A">
              <w:rPr>
                <w:rFonts w:ascii="Aptos" w:hAnsi="Aptos"/>
              </w:rPr>
              <w:t xml:space="preserve">Formulieren Sie Impulse </w:t>
            </w:r>
            <w:r w:rsidR="00F94C43" w:rsidRPr="0098474A">
              <w:rPr>
                <w:rFonts w:ascii="Aptos" w:hAnsi="Aptos"/>
              </w:rPr>
              <w:t>an</w:t>
            </w:r>
            <w:r w:rsidRPr="0098474A">
              <w:rPr>
                <w:rFonts w:ascii="Aptos" w:hAnsi="Aptos"/>
              </w:rPr>
              <w:t xml:space="preserve"> den Schüler und notieren Sie </w:t>
            </w:r>
            <w:r w:rsidR="00D55A38" w:rsidRPr="0098474A">
              <w:rPr>
                <w:rFonts w:ascii="Aptos" w:hAnsi="Aptos"/>
              </w:rPr>
              <w:t>sie</w:t>
            </w:r>
            <w:r w:rsidRPr="0098474A">
              <w:rPr>
                <w:rFonts w:ascii="Aptos" w:hAnsi="Aptos"/>
              </w:rPr>
              <w:t xml:space="preserve"> </w:t>
            </w:r>
            <w:r w:rsidR="009C1039" w:rsidRPr="0098474A">
              <w:rPr>
                <w:rFonts w:ascii="Aptos" w:hAnsi="Aptos"/>
              </w:rPr>
              <w:t>wörtlich</w:t>
            </w:r>
            <w:r w:rsidRPr="0098474A">
              <w:rPr>
                <w:rFonts w:ascii="Aptos" w:hAnsi="Aptos"/>
              </w:rPr>
              <w:t>.</w:t>
            </w:r>
          </w:p>
          <w:p w14:paraId="596D74EA" w14:textId="2E56E1CE" w:rsidR="00EF29C7" w:rsidRPr="0098474A" w:rsidRDefault="00D55A38" w:rsidP="00D55A38">
            <w:pPr>
              <w:spacing w:after="120"/>
              <w:rPr>
                <w:rFonts w:ascii="Aptos" w:hAnsi="Aptos"/>
              </w:rPr>
            </w:pPr>
            <w:r w:rsidRPr="0098474A">
              <w:rPr>
                <w:rFonts w:ascii="Aptos" w:hAnsi="Aptos"/>
              </w:rPr>
              <w:t>(Sehen Sie sich die Impulse der anderen Gruppen an. Geben Sie eine Bewertung in Form von Sternen.</w:t>
            </w:r>
            <w:r w:rsidR="00216D7C" w:rsidRPr="0098474A">
              <w:rPr>
                <w:rFonts w:ascii="Aptos" w:hAnsi="Aptos"/>
              </w:rPr>
              <w:t>)</w:t>
            </w:r>
          </w:p>
        </w:tc>
      </w:tr>
    </w:tbl>
    <w:p w14:paraId="298F3063" w14:textId="77777777" w:rsidR="008D2F9B" w:rsidRPr="0098474A" w:rsidRDefault="008D2F9B" w:rsidP="004F4D9D">
      <w:pPr>
        <w:jc w:val="center"/>
        <w:rPr>
          <w:rFonts w:ascii="Aptos" w:hAnsi="Aptos"/>
        </w:rPr>
      </w:pPr>
    </w:p>
    <w:p w14:paraId="75400188" w14:textId="1B36553C" w:rsidR="00FE6F2B" w:rsidRPr="0098474A" w:rsidRDefault="007C4454" w:rsidP="00A24305">
      <w:pPr>
        <w:spacing w:after="120"/>
        <w:rPr>
          <w:rFonts w:ascii="Aptos" w:hAnsi="Aptos"/>
          <w:u w:val="single"/>
        </w:rPr>
      </w:pPr>
      <w:r w:rsidRPr="0098474A">
        <w:rPr>
          <w:rFonts w:ascii="Aptos" w:hAnsi="Aptos"/>
          <w:u w:val="single"/>
        </w:rPr>
        <w:t>Literatur:</w:t>
      </w:r>
    </w:p>
    <w:p w14:paraId="162BAF3B" w14:textId="216BE0CF" w:rsidR="007C4454" w:rsidRPr="0098474A" w:rsidRDefault="007C4454" w:rsidP="007C4454">
      <w:pPr>
        <w:ind w:left="567" w:hanging="567"/>
        <w:rPr>
          <w:rFonts w:ascii="Aptos" w:hAnsi="Aptos"/>
        </w:rPr>
      </w:pPr>
      <w:r w:rsidRPr="0098474A">
        <w:rPr>
          <w:rFonts w:ascii="Aptos" w:hAnsi="Aptos"/>
        </w:rPr>
        <w:t>Heckman</w:t>
      </w:r>
      <w:r w:rsidR="009E3580" w:rsidRPr="0098474A">
        <w:rPr>
          <w:rFonts w:ascii="Aptos" w:hAnsi="Aptos"/>
        </w:rPr>
        <w:t>n</w:t>
      </w:r>
      <w:r w:rsidRPr="0098474A">
        <w:rPr>
          <w:rFonts w:ascii="Aptos" w:hAnsi="Aptos"/>
        </w:rPr>
        <w:t>, K. (2007): Von Zehnern zu Zehnteln. Das Stellenwertverständnis auf Dezimalbrüche erweitern. In: mathematiklehren 142, S. 45-47.</w:t>
      </w:r>
    </w:p>
    <w:p w14:paraId="1262D9AE" w14:textId="24EE3211" w:rsidR="007C4454" w:rsidRPr="0098474A" w:rsidRDefault="007C4454" w:rsidP="00FE6F2B">
      <w:pPr>
        <w:rPr>
          <w:rFonts w:ascii="Aptos" w:hAnsi="Aptos"/>
        </w:rPr>
      </w:pPr>
    </w:p>
    <w:p w14:paraId="3387A7C2" w14:textId="77F6433B" w:rsidR="002A296E" w:rsidRPr="0098474A" w:rsidRDefault="002A296E" w:rsidP="00FE6F2B">
      <w:pPr>
        <w:rPr>
          <w:rFonts w:ascii="Aptos" w:hAnsi="Aptos"/>
        </w:rPr>
      </w:pPr>
    </w:p>
    <w:p w14:paraId="763B7FEF" w14:textId="3002C13E" w:rsidR="002A296E" w:rsidRPr="0098474A" w:rsidRDefault="002A296E" w:rsidP="00FE6F2B">
      <w:pPr>
        <w:rPr>
          <w:rFonts w:ascii="Aptos" w:hAnsi="Aptos"/>
        </w:rPr>
      </w:pPr>
    </w:p>
    <w:p w14:paraId="63A7F872" w14:textId="3D7A0449" w:rsidR="00EB1A93" w:rsidRPr="0098474A" w:rsidRDefault="00EB1A93" w:rsidP="00FE6F2B">
      <w:pPr>
        <w:rPr>
          <w:rFonts w:ascii="Aptos" w:hAnsi="Aptos"/>
        </w:rPr>
      </w:pPr>
    </w:p>
    <w:p w14:paraId="08BE2676" w14:textId="74BC3D50" w:rsidR="00386502" w:rsidRPr="0098474A" w:rsidRDefault="006016FC" w:rsidP="00386502">
      <w:pPr>
        <w:rPr>
          <w:rFonts w:ascii="Aptos" w:hAnsi="Aptos"/>
        </w:rPr>
      </w:pPr>
      <w:r>
        <w:rPr>
          <w:noProof/>
        </w:rPr>
        <mc:AlternateContent>
          <mc:Choice Requires="wpg">
            <w:drawing>
              <wp:anchor distT="0" distB="0" distL="114300" distR="114300" simplePos="0" relativeHeight="251659264" behindDoc="0" locked="0" layoutInCell="1" allowOverlap="1" wp14:anchorId="557E9301" wp14:editId="6CBE4A1B">
                <wp:simplePos x="0" y="0"/>
                <wp:positionH relativeFrom="margin">
                  <wp:posOffset>-309880</wp:posOffset>
                </wp:positionH>
                <wp:positionV relativeFrom="paragraph">
                  <wp:posOffset>222250</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3FBFCD54" w14:textId="4D7C6765" w:rsidR="006016FC" w:rsidRPr="00AB5DA1" w:rsidRDefault="00C77985" w:rsidP="006016FC">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006016FC" w:rsidRPr="00AB5DA1">
                                <w:rPr>
                                  <w:rFonts w:ascii="Arial" w:hAnsi="Arial"/>
                                  <w:color w:val="000000" w:themeColor="text1"/>
                                  <w:kern w:val="24"/>
                                  <w:sz w:val="14"/>
                                  <w:szCs w:val="14"/>
                                </w:rPr>
                                <w:t>ht unter einer Creative Commons Lizenz vom Typ Namensnennung – Weitergabe unter gleichen Bedingungen.</w:t>
                              </w:r>
                              <w:r w:rsidR="006016FC" w:rsidRPr="00AB5DA1">
                                <w:rPr>
                                  <w:rFonts w:ascii="Arial" w:hAnsi="Arial"/>
                                  <w:color w:val="000000" w:themeColor="text1"/>
                                  <w:kern w:val="24"/>
                                  <w:sz w:val="14"/>
                                  <w:szCs w:val="14"/>
                                </w:rPr>
                                <w:br/>
                                <w:t xml:space="preserve">Die Lizenz ist unter </w:t>
                              </w:r>
                              <w:hyperlink r:id="rId8" w:history="1">
                                <w:r w:rsidR="006016FC" w:rsidRPr="00AB5DA1">
                                  <w:rPr>
                                    <w:rStyle w:val="Hyperlink"/>
                                    <w:rFonts w:ascii="Arial" w:hAnsi="Arial"/>
                                    <w:color w:val="000000" w:themeColor="text1"/>
                                    <w:kern w:val="24"/>
                                    <w:sz w:val="14"/>
                                    <w:szCs w:val="14"/>
                                  </w:rPr>
                                  <w:t>https://creativecommons.org/licenses/by-sa/4.0/</w:t>
                                </w:r>
                              </w:hyperlink>
                              <w:r w:rsidR="006016FC" w:rsidRPr="00AB5DA1">
                                <w:rPr>
                                  <w:rFonts w:ascii="Arial" w:hAnsi="Arial"/>
                                  <w:color w:val="000000" w:themeColor="text1"/>
                                  <w:kern w:val="24"/>
                                  <w:sz w:val="14"/>
                                  <w:szCs w:val="14"/>
                                </w:rPr>
                                <w:t xml:space="preserve"> einsehbar</w:t>
                              </w:r>
                              <w:r w:rsidR="006016FC"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557E9301" id="Gruppieren 2" o:spid="_x0000_s1026" style="position:absolute;margin-left:-24.4pt;margin-top:17.5pt;width:502.45pt;height:60.5pt;z-index:251659264;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3FBFCD54" w14:textId="4D7C6765" w:rsidR="006016FC" w:rsidRPr="00AB5DA1" w:rsidRDefault="00C77985" w:rsidP="006016FC">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006016FC" w:rsidRPr="00AB5DA1">
                          <w:rPr>
                            <w:rFonts w:ascii="Arial" w:hAnsi="Arial"/>
                            <w:color w:val="000000" w:themeColor="text1"/>
                            <w:kern w:val="24"/>
                            <w:sz w:val="14"/>
                            <w:szCs w:val="14"/>
                          </w:rPr>
                          <w:t>ht unter einer Creative Commons Lizenz vom Typ Namensnennung – Weitergabe unter gleichen Bedingungen.</w:t>
                        </w:r>
                        <w:r w:rsidR="006016FC" w:rsidRPr="00AB5DA1">
                          <w:rPr>
                            <w:rFonts w:ascii="Arial" w:hAnsi="Arial"/>
                            <w:color w:val="000000" w:themeColor="text1"/>
                            <w:kern w:val="24"/>
                            <w:sz w:val="14"/>
                            <w:szCs w:val="14"/>
                          </w:rPr>
                          <w:br/>
                          <w:t xml:space="preserve">Die Lizenz ist unter </w:t>
                        </w:r>
                        <w:hyperlink r:id="rId11" w:history="1">
                          <w:r w:rsidR="006016FC" w:rsidRPr="00AB5DA1">
                            <w:rPr>
                              <w:rStyle w:val="Hyperlink"/>
                              <w:rFonts w:ascii="Arial" w:hAnsi="Arial"/>
                              <w:color w:val="000000" w:themeColor="text1"/>
                              <w:kern w:val="24"/>
                              <w:sz w:val="14"/>
                              <w:szCs w:val="14"/>
                            </w:rPr>
                            <w:t>https://creativecommons.org/licenses/by-sa/4.0/</w:t>
                          </w:r>
                        </w:hyperlink>
                        <w:r w:rsidR="006016FC" w:rsidRPr="00AB5DA1">
                          <w:rPr>
                            <w:rFonts w:ascii="Arial" w:hAnsi="Arial"/>
                            <w:color w:val="000000" w:themeColor="text1"/>
                            <w:kern w:val="24"/>
                            <w:sz w:val="14"/>
                            <w:szCs w:val="14"/>
                          </w:rPr>
                          <w:t xml:space="preserve"> einsehbar</w:t>
                        </w:r>
                        <w:r w:rsidR="006016FC"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2"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3" o:title="Ein Bild, das Text, Schrift, Grafiken, Screenshot enthält"/>
                </v:shape>
                <w10:wrap anchorx="margin"/>
              </v:group>
            </w:pict>
          </mc:Fallback>
        </mc:AlternateContent>
      </w:r>
    </w:p>
    <w:sectPr w:rsidR="00386502" w:rsidRPr="0098474A" w:rsidSect="0098474A">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389A0" w14:textId="77777777" w:rsidR="00B10058" w:rsidRDefault="00B10058" w:rsidP="00920EC7">
      <w:pPr>
        <w:spacing w:after="0" w:line="240" w:lineRule="auto"/>
      </w:pPr>
      <w:r>
        <w:separator/>
      </w:r>
    </w:p>
  </w:endnote>
  <w:endnote w:type="continuationSeparator" w:id="0">
    <w:p w14:paraId="0B7234D5" w14:textId="77777777" w:rsidR="00B10058" w:rsidRDefault="00B10058" w:rsidP="00920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66B71" w14:textId="77777777" w:rsidR="0098474A" w:rsidRDefault="009847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E0308" w14:textId="69501591" w:rsidR="00920EC7" w:rsidRDefault="00920EC7" w:rsidP="0098474A">
    <w:pPr>
      <w:pStyle w:val="Fuzeile"/>
      <w:jc w:val="center"/>
    </w:pPr>
  </w:p>
  <w:p w14:paraId="7CD73760" w14:textId="77777777" w:rsidR="00920EC7" w:rsidRDefault="00920E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7DEE2" w14:textId="77777777" w:rsidR="0098474A" w:rsidRDefault="009847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F7F18" w14:textId="77777777" w:rsidR="00B10058" w:rsidRDefault="00B10058" w:rsidP="00920EC7">
      <w:pPr>
        <w:spacing w:after="0" w:line="240" w:lineRule="auto"/>
      </w:pPr>
      <w:r>
        <w:separator/>
      </w:r>
    </w:p>
  </w:footnote>
  <w:footnote w:type="continuationSeparator" w:id="0">
    <w:p w14:paraId="27601B18" w14:textId="77777777" w:rsidR="00B10058" w:rsidRDefault="00B10058" w:rsidP="00920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602F1" w14:textId="77777777" w:rsidR="0098474A" w:rsidRDefault="0098474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58AF7" w14:textId="77777777" w:rsidR="0098474A" w:rsidRDefault="0098474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DA764" w14:textId="77777777" w:rsidR="0098474A" w:rsidRDefault="0098474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0A6E"/>
    <w:multiLevelType w:val="hybridMultilevel"/>
    <w:tmpl w:val="8F46F740"/>
    <w:lvl w:ilvl="0" w:tplc="30C4486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EE95820"/>
    <w:multiLevelType w:val="hybridMultilevel"/>
    <w:tmpl w:val="8BA6D3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386BBF"/>
    <w:multiLevelType w:val="hybridMultilevel"/>
    <w:tmpl w:val="EA72D7CC"/>
    <w:lvl w:ilvl="0" w:tplc="BB56860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4F1E0C"/>
    <w:multiLevelType w:val="hybridMultilevel"/>
    <w:tmpl w:val="C130036E"/>
    <w:lvl w:ilvl="0" w:tplc="FBEC22C2">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059683">
    <w:abstractNumId w:val="3"/>
  </w:num>
  <w:num w:numId="2" w16cid:durableId="154417200">
    <w:abstractNumId w:val="1"/>
  </w:num>
  <w:num w:numId="3" w16cid:durableId="1209683518">
    <w:abstractNumId w:val="0"/>
  </w:num>
  <w:num w:numId="4" w16cid:durableId="10681864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EC7"/>
    <w:rsid w:val="00004416"/>
    <w:rsid w:val="0002047E"/>
    <w:rsid w:val="00027ADD"/>
    <w:rsid w:val="000463E9"/>
    <w:rsid w:val="00072E4A"/>
    <w:rsid w:val="00077209"/>
    <w:rsid w:val="000B61CC"/>
    <w:rsid w:val="000C6B59"/>
    <w:rsid w:val="00143F6D"/>
    <w:rsid w:val="00190CE5"/>
    <w:rsid w:val="001A1497"/>
    <w:rsid w:val="001A173E"/>
    <w:rsid w:val="001D256E"/>
    <w:rsid w:val="00216D7C"/>
    <w:rsid w:val="0022022A"/>
    <w:rsid w:val="00240777"/>
    <w:rsid w:val="0025058D"/>
    <w:rsid w:val="0025509D"/>
    <w:rsid w:val="002A296E"/>
    <w:rsid w:val="002C5E17"/>
    <w:rsid w:val="003204C7"/>
    <w:rsid w:val="00371B0E"/>
    <w:rsid w:val="00376BF8"/>
    <w:rsid w:val="00385CA0"/>
    <w:rsid w:val="00386502"/>
    <w:rsid w:val="003E2DAB"/>
    <w:rsid w:val="004662A7"/>
    <w:rsid w:val="00495E8A"/>
    <w:rsid w:val="004B4330"/>
    <w:rsid w:val="004E6177"/>
    <w:rsid w:val="004F4D9D"/>
    <w:rsid w:val="00507D99"/>
    <w:rsid w:val="00574224"/>
    <w:rsid w:val="006016FC"/>
    <w:rsid w:val="00630A6E"/>
    <w:rsid w:val="006A5F42"/>
    <w:rsid w:val="006B4668"/>
    <w:rsid w:val="006C77DC"/>
    <w:rsid w:val="006D3DA0"/>
    <w:rsid w:val="007010F7"/>
    <w:rsid w:val="007957EE"/>
    <w:rsid w:val="007C4454"/>
    <w:rsid w:val="008510A3"/>
    <w:rsid w:val="00862203"/>
    <w:rsid w:val="00881398"/>
    <w:rsid w:val="008866FD"/>
    <w:rsid w:val="00890064"/>
    <w:rsid w:val="008A2E54"/>
    <w:rsid w:val="008C1042"/>
    <w:rsid w:val="008C6448"/>
    <w:rsid w:val="008D2F9B"/>
    <w:rsid w:val="00903E26"/>
    <w:rsid w:val="00920EC7"/>
    <w:rsid w:val="009527C2"/>
    <w:rsid w:val="009539D5"/>
    <w:rsid w:val="0098474A"/>
    <w:rsid w:val="0099147C"/>
    <w:rsid w:val="009B5129"/>
    <w:rsid w:val="009C1039"/>
    <w:rsid w:val="009C2743"/>
    <w:rsid w:val="009C2ECE"/>
    <w:rsid w:val="009E3580"/>
    <w:rsid w:val="009E5846"/>
    <w:rsid w:val="009F5729"/>
    <w:rsid w:val="00A24305"/>
    <w:rsid w:val="00A61172"/>
    <w:rsid w:val="00AE5A88"/>
    <w:rsid w:val="00B10058"/>
    <w:rsid w:val="00B2775F"/>
    <w:rsid w:val="00B35C28"/>
    <w:rsid w:val="00B43527"/>
    <w:rsid w:val="00B468F0"/>
    <w:rsid w:val="00B574E4"/>
    <w:rsid w:val="00BF2427"/>
    <w:rsid w:val="00C05EDB"/>
    <w:rsid w:val="00C368AD"/>
    <w:rsid w:val="00C77985"/>
    <w:rsid w:val="00C93B9E"/>
    <w:rsid w:val="00CB0C8F"/>
    <w:rsid w:val="00CC2B98"/>
    <w:rsid w:val="00CC62DE"/>
    <w:rsid w:val="00CD56E9"/>
    <w:rsid w:val="00D373AC"/>
    <w:rsid w:val="00D543A2"/>
    <w:rsid w:val="00D55A38"/>
    <w:rsid w:val="00D96774"/>
    <w:rsid w:val="00DB20F4"/>
    <w:rsid w:val="00DB41E4"/>
    <w:rsid w:val="00DC1761"/>
    <w:rsid w:val="00DD32B7"/>
    <w:rsid w:val="00EB1A93"/>
    <w:rsid w:val="00EB453B"/>
    <w:rsid w:val="00EB4CFD"/>
    <w:rsid w:val="00ED2FE9"/>
    <w:rsid w:val="00EF29C7"/>
    <w:rsid w:val="00F218FF"/>
    <w:rsid w:val="00F40ADD"/>
    <w:rsid w:val="00F5332A"/>
    <w:rsid w:val="00F94C43"/>
    <w:rsid w:val="00FE1CD4"/>
    <w:rsid w:val="00FE6F2B"/>
    <w:rsid w:val="00FF4B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E64EC"/>
  <w15:chartTrackingRefBased/>
  <w15:docId w15:val="{56989A95-4951-40BD-87C7-8E5E160D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445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20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20E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0EC7"/>
  </w:style>
  <w:style w:type="paragraph" w:styleId="Fuzeile">
    <w:name w:val="footer"/>
    <w:basedOn w:val="Standard"/>
    <w:link w:val="FuzeileZchn"/>
    <w:uiPriority w:val="99"/>
    <w:unhideWhenUsed/>
    <w:rsid w:val="00920E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0EC7"/>
  </w:style>
  <w:style w:type="paragraph" w:styleId="Listenabsatz">
    <w:name w:val="List Paragraph"/>
    <w:basedOn w:val="Standard"/>
    <w:uiPriority w:val="34"/>
    <w:qFormat/>
    <w:rsid w:val="008D2F9B"/>
    <w:pPr>
      <w:ind w:left="720"/>
      <w:contextualSpacing/>
    </w:pPr>
  </w:style>
  <w:style w:type="paragraph" w:styleId="Sprechblasentext">
    <w:name w:val="Balloon Text"/>
    <w:basedOn w:val="Standard"/>
    <w:link w:val="SprechblasentextZchn"/>
    <w:uiPriority w:val="99"/>
    <w:semiHidden/>
    <w:unhideWhenUsed/>
    <w:rsid w:val="002A296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A296E"/>
    <w:rPr>
      <w:rFonts w:ascii="Segoe UI" w:hAnsi="Segoe UI" w:cs="Segoe UI"/>
      <w:sz w:val="18"/>
      <w:szCs w:val="18"/>
    </w:rPr>
  </w:style>
  <w:style w:type="character" w:styleId="Hyperlink">
    <w:name w:val="Hyperlink"/>
    <w:uiPriority w:val="99"/>
    <w:unhideWhenUsed/>
    <w:rsid w:val="00A6117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1027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16</cp:revision>
  <cp:lastPrinted>2025-09-22T14:58:00Z</cp:lastPrinted>
  <dcterms:created xsi:type="dcterms:W3CDTF">2023-10-15T19:45:00Z</dcterms:created>
  <dcterms:modified xsi:type="dcterms:W3CDTF">2025-09-22T14:59:00Z</dcterms:modified>
</cp:coreProperties>
</file>